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18" w:rsidRPr="00323AC3" w:rsidRDefault="00C0498D" w:rsidP="000158EE">
      <w:pPr>
        <w:pStyle w:val="Heading1"/>
        <w:spacing w:before="75"/>
        <w:ind w:left="740" w:right="247"/>
        <w:jc w:val="center"/>
        <w:rPr>
          <w:rFonts w:ascii="Times New Roman" w:hAnsi="Times New Roman" w:cs="Times New Roman"/>
        </w:rPr>
      </w:pPr>
      <w:r w:rsidRPr="00323AC3">
        <w:rPr>
          <w:rFonts w:ascii="Times New Roman" w:hAnsi="Times New Roman" w:cs="Times New Roman"/>
        </w:rPr>
        <w:t xml:space="preserve">DRAFT THE </w:t>
      </w:r>
      <w:r w:rsidR="000158EE">
        <w:rPr>
          <w:rFonts w:ascii="Times New Roman" w:hAnsi="Times New Roman" w:cs="Times New Roman"/>
        </w:rPr>
        <w:t xml:space="preserve">FY </w:t>
      </w:r>
      <w:r w:rsidRPr="00323AC3">
        <w:rPr>
          <w:rFonts w:ascii="Times New Roman" w:hAnsi="Times New Roman" w:cs="Times New Roman"/>
        </w:rPr>
        <w:t>20</w:t>
      </w:r>
      <w:r w:rsidR="00481ADA">
        <w:rPr>
          <w:rFonts w:ascii="Times New Roman" w:hAnsi="Times New Roman" w:cs="Times New Roman"/>
        </w:rPr>
        <w:t>20</w:t>
      </w:r>
      <w:r w:rsidRPr="00323AC3">
        <w:rPr>
          <w:rFonts w:ascii="Times New Roman" w:hAnsi="Times New Roman" w:cs="Times New Roman"/>
        </w:rPr>
        <w:t>-202</w:t>
      </w:r>
      <w:r w:rsidR="00481ADA">
        <w:rPr>
          <w:rFonts w:ascii="Times New Roman" w:hAnsi="Times New Roman" w:cs="Times New Roman"/>
        </w:rPr>
        <w:t>1</w:t>
      </w:r>
      <w:r w:rsidRPr="00323AC3">
        <w:rPr>
          <w:rFonts w:ascii="Times New Roman" w:hAnsi="Times New Roman" w:cs="Times New Roman"/>
        </w:rPr>
        <w:t xml:space="preserve"> ANNUAL ACTION PLAN TO ADD COMMUNITY DEVELOPMENT BLOCK GRANT – CORONAVIRUS (CDBG-CV) FUNDS</w:t>
      </w:r>
    </w:p>
    <w:p w:rsidR="00D32A18" w:rsidRPr="00323AC3" w:rsidRDefault="00D32A18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481ADA" w:rsidRDefault="00481ADA" w:rsidP="00481AD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The CARES Act made available $5 billion in Community Development Block Grant Coronavirus (CDBG-CV) funds. Of this amount, the Department immediately allocated $2 billion on March 27, 2020, the same day President Trump signed the Act, based on the fiscal year 2020 CDBG formula; this constituted the first round of CDBG-CV funds. Next, $1 billion was required by the Act to be allocated to States and insular areas within 45 days of enactment of the Act; HUD accomplished this on May 11, 2020, and this constituted the second round of CDBG-CV funds.  Finally, the remaining $2 billion in CDBG-CV funds was required by the Act to be allocated to</w:t>
      </w:r>
    </w:p>
    <w:p w:rsidR="00D32A18" w:rsidRPr="00323AC3" w:rsidRDefault="00481ADA" w:rsidP="00481ADA">
      <w:pPr>
        <w:widowControl/>
        <w:adjustRightInd w:val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states and local governments at the discretion of the Secretary on a rolling basis; HUD accomplished this on September 11, 2020, and this constituted the third round of CDBG-CV </w:t>
      </w:r>
      <w:r w:rsidR="00066B15">
        <w:rPr>
          <w:rFonts w:ascii="Times New Roman" w:eastAsiaTheme="minorHAnsi" w:hAnsi="Times New Roman" w:cs="Times New Roman"/>
          <w:sz w:val="24"/>
          <w:szCs w:val="24"/>
        </w:rPr>
        <w:t>funds.</w:t>
      </w:r>
    </w:p>
    <w:p w:rsidR="00D32A18" w:rsidRPr="00323AC3" w:rsidRDefault="00D32A18">
      <w:pPr>
        <w:pStyle w:val="BodyText"/>
        <w:spacing w:before="3"/>
        <w:rPr>
          <w:rFonts w:ascii="Times New Roman" w:hAnsi="Times New Roman" w:cs="Times New Roman"/>
        </w:rPr>
      </w:pPr>
    </w:p>
    <w:p w:rsidR="00D32A18" w:rsidRPr="00323AC3" w:rsidRDefault="00C0498D" w:rsidP="00323AC3">
      <w:pPr>
        <w:pStyle w:val="BodyText"/>
        <w:ind w:left="100" w:right="110"/>
        <w:jc w:val="both"/>
        <w:rPr>
          <w:rFonts w:ascii="Times New Roman" w:hAnsi="Times New Roman" w:cs="Times New Roman"/>
        </w:rPr>
      </w:pPr>
      <w:r w:rsidRPr="0084108A">
        <w:rPr>
          <w:rFonts w:ascii="Times New Roman" w:hAnsi="Times New Roman" w:cs="Times New Roman"/>
        </w:rPr>
        <w:t xml:space="preserve">The City of </w:t>
      </w:r>
      <w:r w:rsidR="00323AC3" w:rsidRPr="0084108A">
        <w:rPr>
          <w:rFonts w:ascii="Times New Roman" w:hAnsi="Times New Roman" w:cs="Times New Roman"/>
        </w:rPr>
        <w:t>Pompano Beach</w:t>
      </w:r>
      <w:r w:rsidRPr="0084108A">
        <w:rPr>
          <w:rFonts w:ascii="Times New Roman" w:hAnsi="Times New Roman" w:cs="Times New Roman"/>
        </w:rPr>
        <w:t xml:space="preserve"> will receive $</w:t>
      </w:r>
      <w:r w:rsidR="00481ADA">
        <w:rPr>
          <w:rFonts w:ascii="Times New Roman" w:hAnsi="Times New Roman" w:cs="Times New Roman"/>
        </w:rPr>
        <w:t>842,</w:t>
      </w:r>
      <w:r w:rsidRPr="0084108A">
        <w:rPr>
          <w:rFonts w:ascii="Times New Roman" w:hAnsi="Times New Roman" w:cs="Times New Roman"/>
        </w:rPr>
        <w:t xml:space="preserve"> in Community Development Block Grant – Coronavirus (CDBG–CV) funding. </w:t>
      </w:r>
      <w:r w:rsidR="00481ADA">
        <w:rPr>
          <w:rFonts w:ascii="Times New Roman" w:hAnsi="Times New Roman" w:cs="Times New Roman"/>
        </w:rPr>
        <w:t>T</w:t>
      </w:r>
      <w:r w:rsidRPr="0084108A">
        <w:rPr>
          <w:rFonts w:ascii="Times New Roman" w:hAnsi="Times New Roman" w:cs="Times New Roman"/>
        </w:rPr>
        <w:t>he FY 20</w:t>
      </w:r>
      <w:r w:rsidR="00481ADA">
        <w:rPr>
          <w:rFonts w:ascii="Times New Roman" w:hAnsi="Times New Roman" w:cs="Times New Roman"/>
        </w:rPr>
        <w:t>20</w:t>
      </w:r>
      <w:r w:rsidRPr="0084108A">
        <w:rPr>
          <w:rFonts w:ascii="Times New Roman" w:hAnsi="Times New Roman" w:cs="Times New Roman"/>
        </w:rPr>
        <w:t>-202</w:t>
      </w:r>
      <w:r w:rsidR="00481ADA">
        <w:rPr>
          <w:rFonts w:ascii="Times New Roman" w:hAnsi="Times New Roman" w:cs="Times New Roman"/>
        </w:rPr>
        <w:t>1</w:t>
      </w:r>
      <w:r w:rsidRPr="0084108A">
        <w:rPr>
          <w:rFonts w:ascii="Times New Roman" w:hAnsi="Times New Roman" w:cs="Times New Roman"/>
        </w:rPr>
        <w:t xml:space="preserve"> Annual Action Plan is required, and usually a </w:t>
      </w:r>
      <w:r w:rsidR="00323AC3" w:rsidRPr="0084108A">
        <w:rPr>
          <w:rFonts w:ascii="Times New Roman" w:hAnsi="Times New Roman" w:cs="Times New Roman"/>
        </w:rPr>
        <w:t>ten</w:t>
      </w:r>
      <w:r w:rsidRPr="0084108A">
        <w:rPr>
          <w:rFonts w:ascii="Times New Roman" w:hAnsi="Times New Roman" w:cs="Times New Roman"/>
        </w:rPr>
        <w:t xml:space="preserve"> (</w:t>
      </w:r>
      <w:r w:rsidR="00323AC3" w:rsidRPr="0084108A">
        <w:rPr>
          <w:rFonts w:ascii="Times New Roman" w:hAnsi="Times New Roman" w:cs="Times New Roman"/>
        </w:rPr>
        <w:t>10</w:t>
      </w:r>
      <w:r w:rsidRPr="0084108A">
        <w:rPr>
          <w:rFonts w:ascii="Times New Roman" w:hAnsi="Times New Roman" w:cs="Times New Roman"/>
        </w:rPr>
        <w:t>) day public comment period is required however, the U.S. Department of Housing and Urban Development (HUD) has waived this requirement provided that no less than five</w:t>
      </w:r>
      <w:r w:rsidR="00323AC3" w:rsidRPr="0084108A">
        <w:rPr>
          <w:rFonts w:ascii="Times New Roman" w:hAnsi="Times New Roman" w:cs="Times New Roman"/>
        </w:rPr>
        <w:t xml:space="preserve"> (5) </w:t>
      </w:r>
      <w:r w:rsidRPr="0084108A">
        <w:rPr>
          <w:rFonts w:ascii="Times New Roman" w:hAnsi="Times New Roman" w:cs="Times New Roman"/>
        </w:rPr>
        <w:t>days are provided for public comments on each substantial</w:t>
      </w:r>
      <w:r w:rsidRPr="0084108A">
        <w:rPr>
          <w:rFonts w:ascii="Times New Roman" w:hAnsi="Times New Roman" w:cs="Times New Roman"/>
          <w:spacing w:val="-20"/>
        </w:rPr>
        <w:t xml:space="preserve"> </w:t>
      </w:r>
      <w:r w:rsidRPr="0084108A">
        <w:rPr>
          <w:rFonts w:ascii="Times New Roman" w:hAnsi="Times New Roman" w:cs="Times New Roman"/>
        </w:rPr>
        <w:t>amendment.</w:t>
      </w:r>
    </w:p>
    <w:p w:rsidR="00D32A18" w:rsidRPr="00323AC3" w:rsidRDefault="00D32A18">
      <w:pPr>
        <w:pStyle w:val="BodyText"/>
        <w:spacing w:before="3"/>
        <w:rPr>
          <w:rFonts w:ascii="Times New Roman" w:hAnsi="Times New Roman" w:cs="Times New Roman"/>
        </w:rPr>
      </w:pPr>
    </w:p>
    <w:p w:rsidR="00D32A18" w:rsidRPr="00323AC3" w:rsidRDefault="00C0498D">
      <w:pPr>
        <w:pStyle w:val="BodyText"/>
        <w:ind w:left="100" w:right="113"/>
        <w:jc w:val="both"/>
        <w:rPr>
          <w:rFonts w:ascii="Times New Roman" w:hAnsi="Times New Roman" w:cs="Times New Roman"/>
        </w:rPr>
      </w:pPr>
      <w:r w:rsidRPr="00323AC3">
        <w:rPr>
          <w:rFonts w:ascii="Times New Roman" w:hAnsi="Times New Roman" w:cs="Times New Roman"/>
        </w:rPr>
        <w:t>The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CDBG-CV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funds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allocated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under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the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CARES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Act</w:t>
      </w:r>
      <w:r w:rsidRPr="00323AC3">
        <w:rPr>
          <w:rFonts w:ascii="Times New Roman" w:hAnsi="Times New Roman" w:cs="Times New Roman"/>
          <w:spacing w:val="-4"/>
        </w:rPr>
        <w:t xml:space="preserve"> </w:t>
      </w:r>
      <w:r w:rsidRPr="00323AC3">
        <w:rPr>
          <w:rFonts w:ascii="Times New Roman" w:hAnsi="Times New Roman" w:cs="Times New Roman"/>
        </w:rPr>
        <w:t>may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be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used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for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a</w:t>
      </w:r>
      <w:r w:rsidRPr="00323AC3">
        <w:rPr>
          <w:rFonts w:ascii="Times New Roman" w:hAnsi="Times New Roman" w:cs="Times New Roman"/>
          <w:spacing w:val="-1"/>
        </w:rPr>
        <w:t xml:space="preserve"> </w:t>
      </w:r>
      <w:r w:rsidRPr="00323AC3">
        <w:rPr>
          <w:rFonts w:ascii="Times New Roman" w:hAnsi="Times New Roman" w:cs="Times New Roman"/>
        </w:rPr>
        <w:t>range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of</w:t>
      </w:r>
      <w:r w:rsidRPr="00323AC3">
        <w:rPr>
          <w:rFonts w:ascii="Times New Roman" w:hAnsi="Times New Roman" w:cs="Times New Roman"/>
          <w:spacing w:val="-9"/>
        </w:rPr>
        <w:t xml:space="preserve"> </w:t>
      </w:r>
      <w:r w:rsidRPr="00323AC3">
        <w:rPr>
          <w:rFonts w:ascii="Times New Roman" w:hAnsi="Times New Roman" w:cs="Times New Roman"/>
        </w:rPr>
        <w:t>eligible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activities</w:t>
      </w:r>
      <w:r w:rsidRPr="00323AC3">
        <w:rPr>
          <w:rFonts w:ascii="Times New Roman" w:hAnsi="Times New Roman" w:cs="Times New Roman"/>
          <w:spacing w:val="-7"/>
        </w:rPr>
        <w:t xml:space="preserve"> </w:t>
      </w:r>
      <w:r w:rsidRPr="00323AC3">
        <w:rPr>
          <w:rFonts w:ascii="Times New Roman" w:hAnsi="Times New Roman" w:cs="Times New Roman"/>
        </w:rPr>
        <w:t>that prevent</w:t>
      </w:r>
      <w:r w:rsidRPr="00323AC3">
        <w:rPr>
          <w:rFonts w:ascii="Times New Roman" w:hAnsi="Times New Roman" w:cs="Times New Roman"/>
          <w:spacing w:val="-8"/>
        </w:rPr>
        <w:t xml:space="preserve"> </w:t>
      </w:r>
      <w:r w:rsidRPr="00323AC3">
        <w:rPr>
          <w:rFonts w:ascii="Times New Roman" w:hAnsi="Times New Roman" w:cs="Times New Roman"/>
        </w:rPr>
        <w:t>and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respond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the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spread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of</w:t>
      </w:r>
      <w:r w:rsidRPr="00323AC3">
        <w:rPr>
          <w:rFonts w:ascii="Times New Roman" w:hAnsi="Times New Roman" w:cs="Times New Roman"/>
          <w:spacing w:val="-8"/>
        </w:rPr>
        <w:t xml:space="preserve"> </w:t>
      </w:r>
      <w:r w:rsidRPr="00323AC3">
        <w:rPr>
          <w:rFonts w:ascii="Times New Roman" w:hAnsi="Times New Roman" w:cs="Times New Roman"/>
        </w:rPr>
        <w:t>infectious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diseases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such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as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the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coronavirus</w:t>
      </w:r>
      <w:r w:rsidRPr="00323AC3">
        <w:rPr>
          <w:rFonts w:ascii="Times New Roman" w:hAnsi="Times New Roman" w:cs="Times New Roman"/>
          <w:spacing w:val="-6"/>
        </w:rPr>
        <w:t xml:space="preserve"> </w:t>
      </w:r>
      <w:r w:rsidRPr="00323AC3">
        <w:rPr>
          <w:rFonts w:ascii="Times New Roman" w:hAnsi="Times New Roman" w:cs="Times New Roman"/>
        </w:rPr>
        <w:t>disease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2019</w:t>
      </w:r>
      <w:r w:rsidRPr="00323AC3">
        <w:rPr>
          <w:rFonts w:ascii="Times New Roman" w:hAnsi="Times New Roman" w:cs="Times New Roman"/>
          <w:spacing w:val="-5"/>
        </w:rPr>
        <w:t xml:space="preserve"> </w:t>
      </w:r>
      <w:r w:rsidRPr="00323AC3">
        <w:rPr>
          <w:rFonts w:ascii="Times New Roman" w:hAnsi="Times New Roman" w:cs="Times New Roman"/>
        </w:rPr>
        <w:t>(COVID- 19).</w:t>
      </w:r>
      <w:r w:rsidRPr="00323AC3">
        <w:rPr>
          <w:rFonts w:ascii="Times New Roman" w:hAnsi="Times New Roman" w:cs="Times New Roman"/>
          <w:spacing w:val="-14"/>
        </w:rPr>
        <w:t xml:space="preserve"> </w:t>
      </w:r>
      <w:r w:rsidRPr="00323AC3">
        <w:rPr>
          <w:rFonts w:ascii="Times New Roman" w:hAnsi="Times New Roman" w:cs="Times New Roman"/>
        </w:rPr>
        <w:t>The</w:t>
      </w:r>
      <w:r w:rsidRPr="00323AC3">
        <w:rPr>
          <w:rFonts w:ascii="Times New Roman" w:hAnsi="Times New Roman" w:cs="Times New Roman"/>
          <w:spacing w:val="-11"/>
        </w:rPr>
        <w:t xml:space="preserve"> </w:t>
      </w:r>
      <w:r w:rsidRPr="00323AC3">
        <w:rPr>
          <w:rFonts w:ascii="Times New Roman" w:hAnsi="Times New Roman" w:cs="Times New Roman"/>
        </w:rPr>
        <w:t>proposed</w:t>
      </w:r>
      <w:r w:rsidRPr="00323AC3">
        <w:rPr>
          <w:rFonts w:ascii="Times New Roman" w:hAnsi="Times New Roman" w:cs="Times New Roman"/>
          <w:spacing w:val="-11"/>
        </w:rPr>
        <w:t xml:space="preserve"> </w:t>
      </w:r>
      <w:r w:rsidRPr="00323AC3">
        <w:rPr>
          <w:rFonts w:ascii="Times New Roman" w:hAnsi="Times New Roman" w:cs="Times New Roman"/>
        </w:rPr>
        <w:t>activities</w:t>
      </w:r>
      <w:r w:rsidRPr="00323AC3">
        <w:rPr>
          <w:rFonts w:ascii="Times New Roman" w:hAnsi="Times New Roman" w:cs="Times New Roman"/>
          <w:spacing w:val="-12"/>
        </w:rPr>
        <w:t xml:space="preserve"> </w:t>
      </w:r>
      <w:r w:rsidRPr="00323AC3">
        <w:rPr>
          <w:rFonts w:ascii="Times New Roman" w:hAnsi="Times New Roman" w:cs="Times New Roman"/>
        </w:rPr>
        <w:t>must</w:t>
      </w:r>
      <w:r w:rsidRPr="00323AC3">
        <w:rPr>
          <w:rFonts w:ascii="Times New Roman" w:hAnsi="Times New Roman" w:cs="Times New Roman"/>
          <w:spacing w:val="-14"/>
        </w:rPr>
        <w:t xml:space="preserve"> </w:t>
      </w:r>
      <w:r w:rsidRPr="00323AC3">
        <w:rPr>
          <w:rFonts w:ascii="Times New Roman" w:hAnsi="Times New Roman" w:cs="Times New Roman"/>
        </w:rPr>
        <w:t>meet</w:t>
      </w:r>
      <w:r w:rsidRPr="00323AC3">
        <w:rPr>
          <w:rFonts w:ascii="Times New Roman" w:hAnsi="Times New Roman" w:cs="Times New Roman"/>
          <w:spacing w:val="-14"/>
        </w:rPr>
        <w:t xml:space="preserve"> </w:t>
      </w:r>
      <w:r w:rsidRPr="00323AC3">
        <w:rPr>
          <w:rFonts w:ascii="Times New Roman" w:hAnsi="Times New Roman" w:cs="Times New Roman"/>
        </w:rPr>
        <w:t>the</w:t>
      </w:r>
      <w:r w:rsidRPr="00323AC3">
        <w:rPr>
          <w:rFonts w:ascii="Times New Roman" w:hAnsi="Times New Roman" w:cs="Times New Roman"/>
          <w:spacing w:val="-11"/>
        </w:rPr>
        <w:t xml:space="preserve"> </w:t>
      </w:r>
      <w:r w:rsidRPr="00323AC3">
        <w:rPr>
          <w:rFonts w:ascii="Times New Roman" w:hAnsi="Times New Roman" w:cs="Times New Roman"/>
        </w:rPr>
        <w:t>three</w:t>
      </w:r>
      <w:r w:rsidRPr="00323AC3">
        <w:rPr>
          <w:rFonts w:ascii="Times New Roman" w:hAnsi="Times New Roman" w:cs="Times New Roman"/>
          <w:spacing w:val="-16"/>
        </w:rPr>
        <w:t xml:space="preserve"> </w:t>
      </w:r>
      <w:r w:rsidRPr="00323AC3">
        <w:rPr>
          <w:rFonts w:ascii="Times New Roman" w:hAnsi="Times New Roman" w:cs="Times New Roman"/>
        </w:rPr>
        <w:t>National</w:t>
      </w:r>
      <w:r w:rsidRPr="00323AC3">
        <w:rPr>
          <w:rFonts w:ascii="Times New Roman" w:hAnsi="Times New Roman" w:cs="Times New Roman"/>
          <w:spacing w:val="-11"/>
        </w:rPr>
        <w:t xml:space="preserve"> </w:t>
      </w:r>
      <w:r w:rsidRPr="00323AC3">
        <w:rPr>
          <w:rFonts w:ascii="Times New Roman" w:hAnsi="Times New Roman" w:cs="Times New Roman"/>
        </w:rPr>
        <w:t>Objectives</w:t>
      </w:r>
      <w:r w:rsidRPr="00323AC3">
        <w:rPr>
          <w:rFonts w:ascii="Times New Roman" w:hAnsi="Times New Roman" w:cs="Times New Roman"/>
          <w:spacing w:val="-12"/>
        </w:rPr>
        <w:t xml:space="preserve"> </w:t>
      </w:r>
      <w:r w:rsidRPr="00323AC3">
        <w:rPr>
          <w:rFonts w:ascii="Times New Roman" w:hAnsi="Times New Roman" w:cs="Times New Roman"/>
        </w:rPr>
        <w:t>as</w:t>
      </w:r>
      <w:r w:rsidRPr="00323AC3">
        <w:rPr>
          <w:rFonts w:ascii="Times New Roman" w:hAnsi="Times New Roman" w:cs="Times New Roman"/>
          <w:spacing w:val="-12"/>
        </w:rPr>
        <w:t xml:space="preserve"> </w:t>
      </w:r>
      <w:r w:rsidRPr="00323AC3">
        <w:rPr>
          <w:rFonts w:ascii="Times New Roman" w:hAnsi="Times New Roman" w:cs="Times New Roman"/>
        </w:rPr>
        <w:t>required</w:t>
      </w:r>
      <w:r w:rsidRPr="00323AC3">
        <w:rPr>
          <w:rFonts w:ascii="Times New Roman" w:hAnsi="Times New Roman" w:cs="Times New Roman"/>
          <w:spacing w:val="-11"/>
        </w:rPr>
        <w:t xml:space="preserve"> </w:t>
      </w:r>
      <w:r w:rsidRPr="00323AC3">
        <w:rPr>
          <w:rFonts w:ascii="Times New Roman" w:hAnsi="Times New Roman" w:cs="Times New Roman"/>
        </w:rPr>
        <w:t>by</w:t>
      </w:r>
      <w:r w:rsidRPr="00323AC3">
        <w:rPr>
          <w:rFonts w:ascii="Times New Roman" w:hAnsi="Times New Roman" w:cs="Times New Roman"/>
          <w:spacing w:val="-12"/>
        </w:rPr>
        <w:t xml:space="preserve"> </w:t>
      </w:r>
      <w:r w:rsidRPr="00323AC3">
        <w:rPr>
          <w:rFonts w:ascii="Times New Roman" w:hAnsi="Times New Roman" w:cs="Times New Roman"/>
        </w:rPr>
        <w:t>CDBG</w:t>
      </w:r>
      <w:r w:rsidRPr="00323AC3">
        <w:rPr>
          <w:rFonts w:ascii="Times New Roman" w:hAnsi="Times New Roman" w:cs="Times New Roman"/>
          <w:spacing w:val="-14"/>
        </w:rPr>
        <w:t xml:space="preserve"> </w:t>
      </w:r>
      <w:r w:rsidRPr="00323AC3">
        <w:rPr>
          <w:rFonts w:ascii="Times New Roman" w:hAnsi="Times New Roman" w:cs="Times New Roman"/>
        </w:rPr>
        <w:t>regulations:</w:t>
      </w:r>
    </w:p>
    <w:p w:rsidR="00D32A18" w:rsidRPr="00323AC3" w:rsidRDefault="00C0498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323AC3">
        <w:rPr>
          <w:rFonts w:ascii="Times New Roman" w:hAnsi="Times New Roman" w:cs="Times New Roman"/>
          <w:sz w:val="24"/>
          <w:szCs w:val="24"/>
        </w:rPr>
        <w:t>Benefit low-and-moderate income</w:t>
      </w:r>
      <w:r w:rsidRPr="00323A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3AC3">
        <w:rPr>
          <w:rFonts w:ascii="Times New Roman" w:hAnsi="Times New Roman" w:cs="Times New Roman"/>
          <w:sz w:val="24"/>
          <w:szCs w:val="24"/>
        </w:rPr>
        <w:t>persons.</w:t>
      </w:r>
    </w:p>
    <w:p w:rsidR="00D32A18" w:rsidRPr="00323AC3" w:rsidRDefault="00C0498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rPr>
          <w:rFonts w:ascii="Times New Roman" w:hAnsi="Times New Roman" w:cs="Times New Roman"/>
          <w:sz w:val="24"/>
          <w:szCs w:val="24"/>
        </w:rPr>
      </w:pPr>
      <w:r w:rsidRPr="00323AC3">
        <w:rPr>
          <w:rFonts w:ascii="Times New Roman" w:hAnsi="Times New Roman" w:cs="Times New Roman"/>
          <w:sz w:val="24"/>
          <w:szCs w:val="24"/>
        </w:rPr>
        <w:t>Aid in the prevention or elimination of slums or blight,</w:t>
      </w:r>
      <w:r w:rsidRPr="00323AC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23AC3">
        <w:rPr>
          <w:rFonts w:ascii="Times New Roman" w:hAnsi="Times New Roman" w:cs="Times New Roman"/>
          <w:sz w:val="24"/>
          <w:szCs w:val="24"/>
        </w:rPr>
        <w:t>and</w:t>
      </w:r>
    </w:p>
    <w:p w:rsidR="00D32A18" w:rsidRPr="00323AC3" w:rsidRDefault="00C0498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323AC3">
        <w:rPr>
          <w:rFonts w:ascii="Times New Roman" w:hAnsi="Times New Roman" w:cs="Times New Roman"/>
          <w:sz w:val="24"/>
          <w:szCs w:val="24"/>
        </w:rPr>
        <w:t>Meet an urgent</w:t>
      </w:r>
      <w:r w:rsidRPr="00323A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AC3">
        <w:rPr>
          <w:rFonts w:ascii="Times New Roman" w:hAnsi="Times New Roman" w:cs="Times New Roman"/>
          <w:sz w:val="24"/>
          <w:szCs w:val="24"/>
        </w:rPr>
        <w:t>need.</w:t>
      </w:r>
    </w:p>
    <w:p w:rsidR="00D32A18" w:rsidRPr="00323AC3" w:rsidRDefault="00C0498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  <w:r w:rsidRPr="00323AC3">
        <w:rPr>
          <w:rFonts w:ascii="Times New Roman" w:hAnsi="Times New Roman" w:cs="Times New Roman"/>
        </w:rPr>
        <w:t>City staff is recommending to allocate the funds as follows: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5"/>
        <w:gridCol w:w="2160"/>
      </w:tblGrid>
      <w:tr w:rsidR="00D32A18" w:rsidRPr="00323AC3" w:rsidTr="00323AC3">
        <w:trPr>
          <w:trHeight w:val="280"/>
        </w:trPr>
        <w:tc>
          <w:tcPr>
            <w:tcW w:w="5485" w:type="dxa"/>
            <w:shd w:val="clear" w:color="auto" w:fill="ADAAAA"/>
          </w:tcPr>
          <w:p w:rsidR="00D32A18" w:rsidRPr="00323AC3" w:rsidRDefault="00C0498D">
            <w:pPr>
              <w:pStyle w:val="TableParagraph"/>
              <w:spacing w:line="260" w:lineRule="exact"/>
              <w:ind w:left="1198" w:right="1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CDBG–CV</w:t>
            </w:r>
          </w:p>
        </w:tc>
        <w:tc>
          <w:tcPr>
            <w:tcW w:w="2160" w:type="dxa"/>
            <w:shd w:val="clear" w:color="auto" w:fill="ADAAAA"/>
          </w:tcPr>
          <w:p w:rsidR="00D32A18" w:rsidRPr="0084108A" w:rsidRDefault="00C0498D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A">
              <w:rPr>
                <w:rFonts w:ascii="Times New Roman" w:hAnsi="Times New Roman" w:cs="Times New Roman"/>
                <w:sz w:val="24"/>
                <w:szCs w:val="24"/>
              </w:rPr>
              <w:t>Allocation</w:t>
            </w:r>
          </w:p>
        </w:tc>
      </w:tr>
      <w:tr w:rsidR="00D32A18" w:rsidRPr="00323AC3" w:rsidTr="00323AC3">
        <w:trPr>
          <w:trHeight w:val="260"/>
        </w:trPr>
        <w:tc>
          <w:tcPr>
            <w:tcW w:w="5485" w:type="dxa"/>
          </w:tcPr>
          <w:p w:rsidR="00D32A18" w:rsidRPr="00323AC3" w:rsidRDefault="00C0498D" w:rsidP="00481AD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CDBG-CV</w:t>
            </w:r>
            <w:r w:rsidR="00481A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81ADA" w:rsidRPr="00481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81ADA">
              <w:rPr>
                <w:rFonts w:ascii="Times New Roman" w:hAnsi="Times New Roman" w:cs="Times New Roman"/>
                <w:sz w:val="24"/>
                <w:szCs w:val="24"/>
              </w:rPr>
              <w:t xml:space="preserve"> ROUND</w:t>
            </w:r>
          </w:p>
        </w:tc>
        <w:tc>
          <w:tcPr>
            <w:tcW w:w="2160" w:type="dxa"/>
          </w:tcPr>
          <w:p w:rsidR="00D32A18" w:rsidRPr="0084108A" w:rsidRDefault="00C0498D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B15">
              <w:rPr>
                <w:rFonts w:ascii="Times New Roman" w:hAnsi="Times New Roman" w:cs="Times New Roman"/>
                <w:sz w:val="24"/>
                <w:szCs w:val="24"/>
              </w:rPr>
              <w:t>842,961</w:t>
            </w:r>
          </w:p>
        </w:tc>
      </w:tr>
      <w:tr w:rsidR="00D32A18" w:rsidRPr="00323AC3" w:rsidTr="00323AC3">
        <w:trPr>
          <w:trHeight w:val="260"/>
        </w:trPr>
        <w:tc>
          <w:tcPr>
            <w:tcW w:w="5485" w:type="dxa"/>
            <w:shd w:val="clear" w:color="auto" w:fill="ADAAAA"/>
          </w:tcPr>
          <w:p w:rsidR="00D32A18" w:rsidRPr="00323AC3" w:rsidRDefault="00C04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2160" w:type="dxa"/>
            <w:shd w:val="clear" w:color="auto" w:fill="ADAAAA"/>
          </w:tcPr>
          <w:p w:rsidR="00D32A18" w:rsidRPr="0084108A" w:rsidRDefault="00D32A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18" w:rsidRPr="00323AC3" w:rsidTr="00323AC3">
        <w:trPr>
          <w:trHeight w:val="260"/>
        </w:trPr>
        <w:tc>
          <w:tcPr>
            <w:tcW w:w="5485" w:type="dxa"/>
          </w:tcPr>
          <w:p w:rsidR="00D32A18" w:rsidRPr="00323AC3" w:rsidRDefault="00C04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Administration (</w:t>
            </w:r>
            <w:r w:rsidR="00323AC3" w:rsidRPr="0032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160" w:type="dxa"/>
          </w:tcPr>
          <w:p w:rsidR="00D32A18" w:rsidRPr="0084108A" w:rsidRDefault="00C0498D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156EB" w:rsidRPr="0084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B15">
              <w:rPr>
                <w:rFonts w:ascii="Times New Roman" w:hAnsi="Times New Roman" w:cs="Times New Roman"/>
                <w:sz w:val="24"/>
                <w:szCs w:val="24"/>
              </w:rPr>
              <w:t>68,592</w:t>
            </w:r>
          </w:p>
        </w:tc>
      </w:tr>
      <w:tr w:rsidR="004E3E5F" w:rsidRPr="00323AC3" w:rsidTr="00323AC3">
        <w:trPr>
          <w:trHeight w:val="260"/>
        </w:trPr>
        <w:tc>
          <w:tcPr>
            <w:tcW w:w="5485" w:type="dxa"/>
            <w:shd w:val="clear" w:color="auto" w:fill="ADAAAA"/>
          </w:tcPr>
          <w:p w:rsidR="004E3E5F" w:rsidRPr="00323AC3" w:rsidRDefault="004E3E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Development</w:t>
            </w:r>
          </w:p>
        </w:tc>
        <w:tc>
          <w:tcPr>
            <w:tcW w:w="2160" w:type="dxa"/>
            <w:shd w:val="clear" w:color="auto" w:fill="ADAAAA"/>
          </w:tcPr>
          <w:p w:rsidR="004E3E5F" w:rsidRPr="0084108A" w:rsidRDefault="004E3E5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5F" w:rsidRPr="00323AC3" w:rsidTr="004E3E5F">
        <w:trPr>
          <w:trHeight w:val="260"/>
        </w:trPr>
        <w:tc>
          <w:tcPr>
            <w:tcW w:w="5485" w:type="dxa"/>
            <w:shd w:val="clear" w:color="auto" w:fill="FFFFFF" w:themeFill="background1"/>
          </w:tcPr>
          <w:p w:rsidR="004E3E5F" w:rsidRPr="00323AC3" w:rsidRDefault="004E3E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Small Business Grant</w:t>
            </w:r>
          </w:p>
        </w:tc>
        <w:tc>
          <w:tcPr>
            <w:tcW w:w="2160" w:type="dxa"/>
            <w:shd w:val="clear" w:color="auto" w:fill="FFFFFF" w:themeFill="background1"/>
          </w:tcPr>
          <w:p w:rsidR="004E3E5F" w:rsidRPr="0084108A" w:rsidRDefault="004E3E5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$300,000</w:t>
            </w:r>
          </w:p>
        </w:tc>
      </w:tr>
      <w:tr w:rsidR="00D32A18" w:rsidRPr="00323AC3" w:rsidTr="00323AC3">
        <w:trPr>
          <w:trHeight w:val="260"/>
        </w:trPr>
        <w:tc>
          <w:tcPr>
            <w:tcW w:w="5485" w:type="dxa"/>
            <w:shd w:val="clear" w:color="auto" w:fill="ADAAAA"/>
          </w:tcPr>
          <w:p w:rsidR="00D32A18" w:rsidRPr="00323AC3" w:rsidRDefault="00C04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Public Service Grants</w:t>
            </w:r>
          </w:p>
        </w:tc>
        <w:tc>
          <w:tcPr>
            <w:tcW w:w="2160" w:type="dxa"/>
            <w:shd w:val="clear" w:color="auto" w:fill="ADAAAA"/>
          </w:tcPr>
          <w:p w:rsidR="00D32A18" w:rsidRPr="0084108A" w:rsidRDefault="00D32A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18" w:rsidRPr="00323AC3" w:rsidTr="00323AC3">
        <w:trPr>
          <w:trHeight w:val="260"/>
        </w:trPr>
        <w:tc>
          <w:tcPr>
            <w:tcW w:w="5485" w:type="dxa"/>
          </w:tcPr>
          <w:p w:rsidR="00D32A18" w:rsidRPr="00323AC3" w:rsidRDefault="00C04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sz w:val="24"/>
                <w:szCs w:val="24"/>
              </w:rPr>
              <w:t>Rental Assistance</w:t>
            </w:r>
          </w:p>
        </w:tc>
        <w:tc>
          <w:tcPr>
            <w:tcW w:w="2160" w:type="dxa"/>
          </w:tcPr>
          <w:p w:rsidR="00D32A18" w:rsidRPr="0084108A" w:rsidRDefault="00C0498D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E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B15">
              <w:rPr>
                <w:rFonts w:ascii="Times New Roman" w:hAnsi="Times New Roman" w:cs="Times New Roman"/>
                <w:sz w:val="24"/>
                <w:szCs w:val="24"/>
              </w:rPr>
              <w:t>74,369</w:t>
            </w:r>
          </w:p>
        </w:tc>
      </w:tr>
      <w:tr w:rsidR="00D32A18" w:rsidRPr="00323AC3" w:rsidTr="00323AC3">
        <w:trPr>
          <w:trHeight w:val="260"/>
        </w:trPr>
        <w:tc>
          <w:tcPr>
            <w:tcW w:w="5485" w:type="dxa"/>
          </w:tcPr>
          <w:p w:rsidR="00D32A18" w:rsidRPr="00323AC3" w:rsidRDefault="00C0498D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CDBG</w:t>
            </w:r>
            <w:r w:rsidR="00066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-CV 3</w:t>
            </w:r>
            <w:r w:rsidR="00066B15" w:rsidRPr="00066B1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RD</w:t>
            </w:r>
            <w:r w:rsidR="00066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Round</w:t>
            </w:r>
            <w:r w:rsidRPr="0032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Allocations</w:t>
            </w:r>
          </w:p>
        </w:tc>
        <w:tc>
          <w:tcPr>
            <w:tcW w:w="2160" w:type="dxa"/>
          </w:tcPr>
          <w:p w:rsidR="00D32A18" w:rsidRPr="0084108A" w:rsidRDefault="00C0498D">
            <w:pPr>
              <w:pStyle w:val="TableParagraph"/>
              <w:ind w:left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  <w:r w:rsidR="00066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842,961</w:t>
            </w:r>
          </w:p>
        </w:tc>
      </w:tr>
    </w:tbl>
    <w:p w:rsidR="00D32A18" w:rsidRPr="00323AC3" w:rsidRDefault="00D32A18">
      <w:pPr>
        <w:pStyle w:val="BodyText"/>
        <w:spacing w:before="3"/>
        <w:rPr>
          <w:rFonts w:ascii="Times New Roman" w:hAnsi="Times New Roman" w:cs="Times New Roman"/>
        </w:rPr>
      </w:pPr>
    </w:p>
    <w:p w:rsidR="00D32A18" w:rsidRPr="00323AC3" w:rsidRDefault="00C0498D" w:rsidP="00323AC3">
      <w:pPr>
        <w:pStyle w:val="BodyText"/>
        <w:spacing w:before="1"/>
        <w:ind w:left="100" w:right="173"/>
        <w:jc w:val="both"/>
        <w:rPr>
          <w:rFonts w:ascii="Times New Roman" w:hAnsi="Times New Roman" w:cs="Times New Roman"/>
        </w:rPr>
      </w:pPr>
      <w:r w:rsidRPr="00323AC3">
        <w:rPr>
          <w:rFonts w:ascii="Times New Roman" w:hAnsi="Times New Roman" w:cs="Times New Roman"/>
        </w:rPr>
        <w:t xml:space="preserve">In </w:t>
      </w:r>
      <w:r w:rsidR="00323AC3" w:rsidRPr="00323AC3">
        <w:rPr>
          <w:rFonts w:ascii="Times New Roman" w:hAnsi="Times New Roman" w:cs="Times New Roman"/>
        </w:rPr>
        <w:t>addition,</w:t>
      </w:r>
      <w:r w:rsidRPr="00323AC3">
        <w:rPr>
          <w:rFonts w:ascii="Times New Roman" w:hAnsi="Times New Roman" w:cs="Times New Roman"/>
        </w:rPr>
        <w:t xml:space="preserve"> and for the purpose of an expedited use of the CDBG-CV funding, the bill eliminates the cap on the amount of funds a grantee can spend on public services, removes the requirement to hold in-person public hearings in order to comply with national and local social gathering requirements, and allows grantees to be reimbursed for COVID-19 response activities regardless of the date the costs were incurred.</w:t>
      </w:r>
    </w:p>
    <w:p w:rsidR="00D32A18" w:rsidRPr="00323AC3" w:rsidRDefault="00C0498D">
      <w:pPr>
        <w:pStyle w:val="Heading1"/>
        <w:ind w:firstLine="0"/>
        <w:jc w:val="both"/>
        <w:rPr>
          <w:rFonts w:ascii="Times New Roman" w:hAnsi="Times New Roman" w:cs="Times New Roman"/>
        </w:rPr>
      </w:pPr>
      <w:r w:rsidRPr="00323AC3">
        <w:rPr>
          <w:rFonts w:ascii="Times New Roman" w:hAnsi="Times New Roman" w:cs="Times New Roman"/>
        </w:rPr>
        <w:t>Public Review</w:t>
      </w:r>
    </w:p>
    <w:p w:rsidR="00D32A18" w:rsidRPr="00323AC3" w:rsidRDefault="00C0498D" w:rsidP="00323AC3">
      <w:pPr>
        <w:pStyle w:val="BodyText"/>
        <w:spacing w:before="1"/>
        <w:ind w:left="100" w:right="160"/>
        <w:jc w:val="both"/>
        <w:rPr>
          <w:rFonts w:ascii="Times New Roman" w:hAnsi="Times New Roman" w:cs="Times New Roman"/>
        </w:rPr>
      </w:pPr>
      <w:r w:rsidRPr="00323AC3">
        <w:rPr>
          <w:rFonts w:ascii="Times New Roman" w:hAnsi="Times New Roman" w:cs="Times New Roman"/>
        </w:rPr>
        <w:t xml:space="preserve">Pursuant to HUD regulations, the City’s Citizen Participation Plan and current HUD waivers for grant programs and consolidated plan requirements to prevent the spread of COVID19, staff published a 5- day comment period and public hearing. Public comments and </w:t>
      </w:r>
      <w:r w:rsidR="00323AC3" w:rsidRPr="00323AC3">
        <w:rPr>
          <w:rFonts w:ascii="Times New Roman" w:hAnsi="Times New Roman" w:cs="Times New Roman"/>
        </w:rPr>
        <w:t xml:space="preserve">Commissioner’s </w:t>
      </w:r>
      <w:r w:rsidRPr="00323AC3">
        <w:rPr>
          <w:rFonts w:ascii="Times New Roman" w:hAnsi="Times New Roman" w:cs="Times New Roman"/>
        </w:rPr>
        <w:t>allocation recommendations will be included in the FY 20</w:t>
      </w:r>
      <w:r w:rsidR="00481ADA">
        <w:rPr>
          <w:rFonts w:ascii="Times New Roman" w:hAnsi="Times New Roman" w:cs="Times New Roman"/>
        </w:rPr>
        <w:t>20</w:t>
      </w:r>
      <w:r w:rsidRPr="00323AC3">
        <w:rPr>
          <w:rFonts w:ascii="Times New Roman" w:hAnsi="Times New Roman" w:cs="Times New Roman"/>
        </w:rPr>
        <w:t>-202</w:t>
      </w:r>
      <w:r w:rsidR="00481ADA">
        <w:rPr>
          <w:rFonts w:ascii="Times New Roman" w:hAnsi="Times New Roman" w:cs="Times New Roman"/>
        </w:rPr>
        <w:t>1</w:t>
      </w:r>
      <w:r w:rsidRPr="00323AC3">
        <w:rPr>
          <w:rFonts w:ascii="Times New Roman" w:hAnsi="Times New Roman" w:cs="Times New Roman"/>
        </w:rPr>
        <w:t xml:space="preserve"> Annual Action Plan.</w:t>
      </w:r>
    </w:p>
    <w:p w:rsidR="00323AC3" w:rsidRPr="00323AC3" w:rsidRDefault="00323AC3" w:rsidP="00323AC3">
      <w:pPr>
        <w:pStyle w:val="BodyText"/>
        <w:spacing w:before="1"/>
        <w:ind w:left="100" w:right="160"/>
        <w:jc w:val="both"/>
        <w:rPr>
          <w:rFonts w:ascii="Times New Roman" w:hAnsi="Times New Roman" w:cs="Times New Roman"/>
        </w:rPr>
      </w:pPr>
    </w:p>
    <w:p w:rsidR="00C156EB" w:rsidRDefault="00323AC3" w:rsidP="00323AC3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323AC3">
        <w:rPr>
          <w:rFonts w:ascii="Times New Roman" w:hAnsi="Times New Roman" w:cs="Times New Roman"/>
          <w:sz w:val="24"/>
          <w:szCs w:val="24"/>
        </w:rPr>
        <w:t xml:space="preserve">Any person(s) wishing to comment on </w:t>
      </w:r>
      <w:r w:rsidR="000158EE">
        <w:rPr>
          <w:rFonts w:ascii="Times New Roman" w:hAnsi="Times New Roman" w:cs="Times New Roman"/>
          <w:sz w:val="24"/>
          <w:szCs w:val="24"/>
        </w:rPr>
        <w:t xml:space="preserve">the FY </w:t>
      </w:r>
      <w:r w:rsidRPr="00323AC3">
        <w:rPr>
          <w:rFonts w:ascii="Times New Roman" w:hAnsi="Times New Roman" w:cs="Times New Roman"/>
          <w:sz w:val="24"/>
          <w:szCs w:val="24"/>
        </w:rPr>
        <w:t>20</w:t>
      </w:r>
      <w:r w:rsidR="00481ADA">
        <w:rPr>
          <w:rFonts w:ascii="Times New Roman" w:hAnsi="Times New Roman" w:cs="Times New Roman"/>
          <w:sz w:val="24"/>
          <w:szCs w:val="24"/>
        </w:rPr>
        <w:t>20</w:t>
      </w:r>
      <w:r w:rsidRPr="00323AC3">
        <w:rPr>
          <w:rFonts w:ascii="Times New Roman" w:hAnsi="Times New Roman" w:cs="Times New Roman"/>
          <w:sz w:val="24"/>
          <w:szCs w:val="24"/>
        </w:rPr>
        <w:t>-202</w:t>
      </w:r>
      <w:r w:rsidR="00481ADA">
        <w:rPr>
          <w:rFonts w:ascii="Times New Roman" w:hAnsi="Times New Roman" w:cs="Times New Roman"/>
          <w:sz w:val="24"/>
          <w:szCs w:val="24"/>
        </w:rPr>
        <w:t>1</w:t>
      </w:r>
      <w:r w:rsidRPr="00323AC3">
        <w:rPr>
          <w:rFonts w:ascii="Times New Roman" w:hAnsi="Times New Roman" w:cs="Times New Roman"/>
          <w:sz w:val="24"/>
          <w:szCs w:val="24"/>
        </w:rPr>
        <w:t xml:space="preserve"> Annual Action Plan funding may do so during the </w:t>
      </w:r>
      <w:r w:rsidR="00F412C1" w:rsidRPr="0084108A">
        <w:rPr>
          <w:rFonts w:ascii="Times New Roman" w:hAnsi="Times New Roman" w:cs="Times New Roman"/>
          <w:sz w:val="24"/>
          <w:szCs w:val="24"/>
        </w:rPr>
        <w:t>five</w:t>
      </w:r>
      <w:r w:rsidRPr="0084108A">
        <w:rPr>
          <w:rFonts w:ascii="Times New Roman" w:hAnsi="Times New Roman" w:cs="Times New Roman"/>
          <w:sz w:val="24"/>
          <w:szCs w:val="24"/>
        </w:rPr>
        <w:t xml:space="preserve"> (</w:t>
      </w:r>
      <w:r w:rsidR="00F412C1" w:rsidRPr="0084108A">
        <w:rPr>
          <w:rFonts w:ascii="Times New Roman" w:hAnsi="Times New Roman" w:cs="Times New Roman"/>
          <w:sz w:val="24"/>
          <w:szCs w:val="24"/>
        </w:rPr>
        <w:t>5</w:t>
      </w:r>
      <w:r w:rsidRPr="0084108A">
        <w:rPr>
          <w:rFonts w:ascii="Times New Roman" w:hAnsi="Times New Roman" w:cs="Times New Roman"/>
          <w:sz w:val="24"/>
          <w:szCs w:val="24"/>
        </w:rPr>
        <w:t>)</w:t>
      </w:r>
      <w:r w:rsidRPr="00323AC3">
        <w:rPr>
          <w:rFonts w:ascii="Times New Roman" w:hAnsi="Times New Roman" w:cs="Times New Roman"/>
          <w:sz w:val="24"/>
          <w:szCs w:val="24"/>
        </w:rPr>
        <w:t xml:space="preserve"> day comment period beginning </w:t>
      </w:r>
      <w:r w:rsidR="00481ADA">
        <w:rPr>
          <w:rFonts w:ascii="Times New Roman" w:hAnsi="Times New Roman" w:cs="Times New Roman"/>
          <w:sz w:val="24"/>
          <w:szCs w:val="24"/>
        </w:rPr>
        <w:t>November 21</w:t>
      </w:r>
      <w:r w:rsidRPr="0084108A">
        <w:rPr>
          <w:rFonts w:ascii="Times New Roman" w:hAnsi="Times New Roman" w:cs="Times New Roman"/>
          <w:sz w:val="24"/>
          <w:szCs w:val="24"/>
        </w:rPr>
        <w:t>, 2020</w:t>
      </w:r>
      <w:r w:rsidRPr="00323AC3">
        <w:rPr>
          <w:rFonts w:ascii="Times New Roman" w:hAnsi="Times New Roman" w:cs="Times New Roman"/>
          <w:sz w:val="24"/>
          <w:szCs w:val="24"/>
        </w:rPr>
        <w:t xml:space="preserve">.  Comments must be submitted in writing and received by </w:t>
      </w:r>
      <w:r w:rsidR="00481ADA">
        <w:rPr>
          <w:rFonts w:ascii="Times New Roman" w:hAnsi="Times New Roman" w:cs="Times New Roman"/>
          <w:sz w:val="24"/>
          <w:szCs w:val="24"/>
        </w:rPr>
        <w:t xml:space="preserve">November </w:t>
      </w:r>
      <w:r w:rsidR="00066B15">
        <w:rPr>
          <w:rFonts w:ascii="Times New Roman" w:hAnsi="Times New Roman" w:cs="Times New Roman"/>
          <w:sz w:val="24"/>
          <w:szCs w:val="24"/>
        </w:rPr>
        <w:t>26</w:t>
      </w:r>
      <w:r w:rsidRPr="0084108A">
        <w:rPr>
          <w:rFonts w:ascii="Times New Roman" w:hAnsi="Times New Roman" w:cs="Times New Roman"/>
          <w:sz w:val="24"/>
          <w:szCs w:val="24"/>
        </w:rPr>
        <w:t>, 2020</w:t>
      </w:r>
      <w:r w:rsidRPr="00323AC3">
        <w:rPr>
          <w:rFonts w:ascii="Times New Roman" w:hAnsi="Times New Roman" w:cs="Times New Roman"/>
          <w:sz w:val="24"/>
          <w:szCs w:val="24"/>
        </w:rPr>
        <w:t xml:space="preserve">.  Written comments should be submitted to the address below. </w:t>
      </w:r>
    </w:p>
    <w:p w:rsidR="00323AC3" w:rsidRPr="00323AC3" w:rsidRDefault="00C215C8" w:rsidP="00323AC3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6016FBFE" wp14:editId="6CCE2F70">
            <wp:simplePos x="0" y="0"/>
            <wp:positionH relativeFrom="column">
              <wp:posOffset>158115</wp:posOffset>
            </wp:positionH>
            <wp:positionV relativeFrom="paragraph">
              <wp:posOffset>114300</wp:posOffset>
            </wp:positionV>
            <wp:extent cx="561975" cy="584200"/>
            <wp:effectExtent l="0" t="0" r="9525" b="6350"/>
            <wp:wrapNone/>
            <wp:docPr id="2" name="Picture 1" descr="cid:_com_android_email_attachmentprovider_2_3718_RAW@sec.galaxy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com_android_email_attachmentprovider_2_3718_RAW@sec.galaxyta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C3" w:rsidRPr="00323AC3">
        <w:rPr>
          <w:rFonts w:ascii="Times New Roman" w:hAnsi="Times New Roman" w:cs="Times New Roman"/>
          <w:sz w:val="24"/>
          <w:szCs w:val="24"/>
        </w:rPr>
        <w:tab/>
      </w:r>
      <w:r w:rsidR="00323AC3" w:rsidRPr="00323AC3">
        <w:rPr>
          <w:rFonts w:ascii="Times New Roman" w:hAnsi="Times New Roman" w:cs="Times New Roman"/>
          <w:sz w:val="24"/>
          <w:szCs w:val="24"/>
        </w:rPr>
        <w:tab/>
      </w:r>
    </w:p>
    <w:p w:rsidR="00323AC3" w:rsidRPr="00323AC3" w:rsidRDefault="00323AC3" w:rsidP="00323AC3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C3">
        <w:rPr>
          <w:rFonts w:ascii="Times New Roman" w:hAnsi="Times New Roman" w:cs="Times New Roman"/>
          <w:b/>
          <w:sz w:val="24"/>
          <w:szCs w:val="24"/>
        </w:rPr>
        <w:t>Office of Housing and Urban Improvement</w:t>
      </w:r>
    </w:p>
    <w:p w:rsidR="00323AC3" w:rsidRPr="00323AC3" w:rsidRDefault="00323AC3" w:rsidP="00323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C3">
        <w:rPr>
          <w:rFonts w:ascii="Times New Roman" w:hAnsi="Times New Roman" w:cs="Times New Roman"/>
          <w:b/>
          <w:sz w:val="24"/>
          <w:szCs w:val="24"/>
        </w:rPr>
        <w:t>City of Pompano Beach</w:t>
      </w:r>
    </w:p>
    <w:p w:rsidR="00323AC3" w:rsidRPr="00323AC3" w:rsidRDefault="00323AC3" w:rsidP="00323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C3">
        <w:rPr>
          <w:rFonts w:ascii="Times New Roman" w:hAnsi="Times New Roman" w:cs="Times New Roman"/>
          <w:b/>
          <w:sz w:val="24"/>
          <w:szCs w:val="24"/>
        </w:rPr>
        <w:t>100 W. Atlantic Blvd., Rm. 220</w:t>
      </w:r>
    </w:p>
    <w:p w:rsidR="00323AC3" w:rsidRPr="00323AC3" w:rsidRDefault="00323AC3" w:rsidP="0032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AC3">
        <w:rPr>
          <w:rFonts w:ascii="Times New Roman" w:hAnsi="Times New Roman" w:cs="Times New Roman"/>
          <w:b/>
          <w:sz w:val="24"/>
          <w:szCs w:val="24"/>
        </w:rPr>
        <w:t>Pompano Beach, FL  33060</w:t>
      </w:r>
    </w:p>
    <w:p w:rsidR="00323AC3" w:rsidRPr="00066B15" w:rsidRDefault="00323AC3" w:rsidP="00066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C3">
        <w:rPr>
          <w:rFonts w:ascii="Times New Roman" w:hAnsi="Times New Roman" w:cs="Times New Roman"/>
          <w:b/>
          <w:sz w:val="24"/>
          <w:szCs w:val="24"/>
        </w:rPr>
        <w:t>(954) 786-4659</w:t>
      </w:r>
      <w:bookmarkStart w:id="0" w:name="_GoBack"/>
      <w:bookmarkEnd w:id="0"/>
    </w:p>
    <w:sectPr w:rsidR="00323AC3" w:rsidRPr="00066B15" w:rsidSect="00066B15">
      <w:type w:val="continuous"/>
      <w:pgSz w:w="12240" w:h="15840"/>
      <w:pgMar w:top="288" w:right="576" w:bottom="288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7AD"/>
    <w:multiLevelType w:val="hybridMultilevel"/>
    <w:tmpl w:val="D794F52A"/>
    <w:lvl w:ilvl="0" w:tplc="F8128298">
      <w:start w:val="5"/>
      <w:numFmt w:val="decimal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04AAA0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46D85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E4787854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C03A08D6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AF2DE2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DEA517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BFD025A6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9F562E52">
      <w:numFmt w:val="bullet"/>
      <w:lvlText w:val="•"/>
      <w:lvlJc w:val="left"/>
      <w:pPr>
        <w:ind w:left="87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18"/>
    <w:rsid w:val="000158EE"/>
    <w:rsid w:val="00066B15"/>
    <w:rsid w:val="00323AC3"/>
    <w:rsid w:val="00481ADA"/>
    <w:rsid w:val="004E3E5F"/>
    <w:rsid w:val="0084108A"/>
    <w:rsid w:val="00C0498D"/>
    <w:rsid w:val="00C156EB"/>
    <w:rsid w:val="00C215C8"/>
    <w:rsid w:val="00CF2570"/>
    <w:rsid w:val="00D32A18"/>
    <w:rsid w:val="00E36D19"/>
    <w:rsid w:val="00F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ACE79-5994-41E2-9587-D0D28305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4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com_android_email_attachmentprovider_2_3718_RAW@sec.galaxyt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Averell</dc:creator>
  <cp:lastModifiedBy>Miriam Carrillo</cp:lastModifiedBy>
  <cp:revision>5</cp:revision>
  <dcterms:created xsi:type="dcterms:W3CDTF">2020-11-17T16:15:00Z</dcterms:created>
  <dcterms:modified xsi:type="dcterms:W3CDTF">2020-11-17T16:21:00Z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2020-04-14T00:00:00Z</vt:filetime>
  </property>
</Properties>
</file>